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EED" w:rsidRPr="00126EED" w:rsidRDefault="00126EED" w:rsidP="00126EED">
      <w:pPr>
        <w:keepNext/>
        <w:keepLines/>
        <w:spacing w:after="0" w:line="240" w:lineRule="auto"/>
        <w:outlineLvl w:val="0"/>
        <w:rPr>
          <w:rFonts w:asciiTheme="majorHAnsi" w:eastAsiaTheme="majorEastAsia" w:hAnsiTheme="majorHAnsi" w:cstheme="majorBidi"/>
          <w:b/>
          <w:color w:val="2E74B5" w:themeColor="accent1" w:themeShade="BF"/>
          <w:sz w:val="32"/>
          <w:szCs w:val="32"/>
        </w:rPr>
      </w:pPr>
      <w:bookmarkStart w:id="0" w:name="_Toc16081691"/>
      <w:r w:rsidRPr="00126EED">
        <w:rPr>
          <w:rFonts w:asciiTheme="majorHAnsi" w:eastAsiaTheme="majorEastAsia" w:hAnsiTheme="majorHAnsi" w:cstheme="majorBidi"/>
          <w:b/>
          <w:color w:val="2E74B5" w:themeColor="accent1" w:themeShade="BF"/>
          <w:sz w:val="32"/>
          <w:szCs w:val="32"/>
        </w:rPr>
        <w:t>CO</w:t>
      </w:r>
      <w:bookmarkEnd w:id="0"/>
      <w:r w:rsidRPr="00126EED">
        <w:rPr>
          <w:rFonts w:asciiTheme="majorHAnsi" w:eastAsiaTheme="majorEastAsia" w:hAnsiTheme="majorHAnsi" w:cstheme="majorBidi"/>
          <w:b/>
          <w:color w:val="2E74B5" w:themeColor="accent1" w:themeShade="BF"/>
          <w:sz w:val="32"/>
          <w:szCs w:val="32"/>
        </w:rPr>
        <w:t xml:space="preserve">NTINUITY OF CARE COHORTS </w:t>
      </w:r>
      <w:bookmarkStart w:id="1" w:name="_GoBack"/>
      <w:bookmarkEnd w:id="1"/>
    </w:p>
    <w:p w:rsidR="00126EED" w:rsidRPr="00126EED" w:rsidRDefault="00126EED" w:rsidP="00126EED">
      <w:pPr>
        <w:keepNext/>
        <w:keepLines/>
        <w:spacing w:after="0" w:line="240" w:lineRule="auto"/>
        <w:outlineLvl w:val="0"/>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t>One Care will provide EMIS searches</w:t>
      </w:r>
    </w:p>
    <w:tbl>
      <w:tblPr>
        <w:tblW w:w="9923" w:type="dxa"/>
        <w:tblInd w:w="-10" w:type="dxa"/>
        <w:tblLayout w:type="fixed"/>
        <w:tblCellMar>
          <w:left w:w="0" w:type="dxa"/>
          <w:right w:w="0" w:type="dxa"/>
        </w:tblCellMar>
        <w:tblLook w:val="04A0" w:firstRow="1" w:lastRow="0" w:firstColumn="1" w:lastColumn="0" w:noHBand="0" w:noVBand="1"/>
      </w:tblPr>
      <w:tblGrid>
        <w:gridCol w:w="142"/>
        <w:gridCol w:w="1985"/>
        <w:gridCol w:w="1701"/>
        <w:gridCol w:w="6095"/>
      </w:tblGrid>
      <w:tr w:rsidR="00126EED" w:rsidRPr="00126EED" w:rsidTr="00126EED">
        <w:tc>
          <w:tcPr>
            <w:tcW w:w="142" w:type="dxa"/>
            <w:tcBorders>
              <w:top w:val="single" w:sz="8" w:space="0" w:color="auto"/>
              <w:left w:val="single" w:sz="8" w:space="0" w:color="auto"/>
              <w:bottom w:val="single" w:sz="8" w:space="0" w:color="auto"/>
              <w:right w:val="single" w:sz="8" w:space="0" w:color="auto"/>
            </w:tcBorders>
            <w:shd w:val="clear" w:color="auto" w:fill="9CC2E5" w:themeFill="accent1" w:themeFillTint="99"/>
          </w:tcPr>
          <w:p w:rsidR="00126EED" w:rsidRPr="00126EED" w:rsidRDefault="00126EED" w:rsidP="00126EED">
            <w:pPr>
              <w:spacing w:after="0" w:line="240" w:lineRule="auto"/>
              <w:rPr>
                <w:rFonts w:ascii="Arial" w:hAnsi="Arial" w:cs="Arial"/>
                <w:b/>
                <w:bCs/>
              </w:rPr>
            </w:pPr>
          </w:p>
        </w:tc>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26EED" w:rsidRPr="00126EED" w:rsidRDefault="00126EED" w:rsidP="00126EED">
            <w:pPr>
              <w:spacing w:after="0" w:line="240" w:lineRule="auto"/>
              <w:rPr>
                <w:rFonts w:ascii="Arial" w:hAnsi="Arial" w:cs="Arial"/>
                <w:b/>
                <w:bCs/>
              </w:rPr>
            </w:pPr>
            <w:r w:rsidRPr="00126EED">
              <w:rPr>
                <w:rFonts w:ascii="Arial" w:hAnsi="Arial" w:cs="Arial"/>
                <w:b/>
                <w:bCs/>
              </w:rPr>
              <w:t>Cohort</w:t>
            </w:r>
          </w:p>
          <w:p w:rsidR="00126EED" w:rsidRPr="00126EED" w:rsidRDefault="00126EED" w:rsidP="00126EED">
            <w:pPr>
              <w:spacing w:after="0" w:line="240" w:lineRule="auto"/>
              <w:rPr>
                <w:rFonts w:ascii="Arial" w:hAnsi="Arial" w:cs="Arial"/>
                <w:b/>
                <w:bCs/>
              </w:rPr>
            </w:pP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26EED" w:rsidRPr="00126EED" w:rsidRDefault="00126EED" w:rsidP="00126EED">
            <w:pPr>
              <w:spacing w:after="0" w:line="240" w:lineRule="auto"/>
              <w:rPr>
                <w:rFonts w:ascii="Arial" w:hAnsi="Arial" w:cs="Arial"/>
                <w:b/>
                <w:bCs/>
              </w:rPr>
            </w:pPr>
            <w:r w:rsidRPr="00126EED">
              <w:rPr>
                <w:rFonts w:ascii="Arial" w:hAnsi="Arial" w:cs="Arial"/>
                <w:b/>
                <w:bCs/>
              </w:rPr>
              <w:t>Comments</w:t>
            </w:r>
          </w:p>
        </w:tc>
        <w:tc>
          <w:tcPr>
            <w:tcW w:w="60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26EED" w:rsidRPr="00126EED" w:rsidRDefault="00126EED" w:rsidP="00126EED">
            <w:pPr>
              <w:spacing w:after="0" w:line="240" w:lineRule="auto"/>
              <w:rPr>
                <w:rFonts w:ascii="Arial" w:hAnsi="Arial" w:cs="Arial"/>
                <w:b/>
                <w:bCs/>
              </w:rPr>
            </w:pPr>
            <w:r w:rsidRPr="00126EED">
              <w:rPr>
                <w:rFonts w:ascii="Arial" w:hAnsi="Arial" w:cs="Arial"/>
                <w:b/>
                <w:bCs/>
              </w:rPr>
              <w:t>Suggestions / Feedback</w:t>
            </w:r>
          </w:p>
        </w:tc>
      </w:tr>
      <w:tr w:rsidR="00126EED" w:rsidRPr="00126EED" w:rsidTr="00126EED">
        <w:tc>
          <w:tcPr>
            <w:tcW w:w="142" w:type="dxa"/>
            <w:tcBorders>
              <w:top w:val="nil"/>
              <w:left w:val="single" w:sz="8" w:space="0" w:color="auto"/>
              <w:bottom w:val="single" w:sz="8" w:space="0" w:color="auto"/>
              <w:right w:val="single" w:sz="8" w:space="0" w:color="auto"/>
            </w:tcBorders>
            <w:shd w:val="clear" w:color="auto" w:fill="9CC2E5" w:themeFill="accent1" w:themeFillTint="99"/>
          </w:tcPr>
          <w:p w:rsidR="00126EED" w:rsidRPr="00126EED" w:rsidRDefault="00126EED" w:rsidP="00126EED">
            <w:pPr>
              <w:spacing w:after="0" w:line="240" w:lineRule="auto"/>
              <w:rPr>
                <w:rFonts w:ascii="Arial" w:hAnsi="Arial" w:cs="Arial"/>
              </w:rPr>
            </w:pPr>
          </w:p>
        </w:tc>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6EED" w:rsidRPr="00126EED" w:rsidRDefault="00126EED" w:rsidP="00126EED">
            <w:pPr>
              <w:spacing w:after="0" w:line="240" w:lineRule="auto"/>
              <w:rPr>
                <w:rFonts w:ascii="Arial" w:hAnsi="Arial" w:cs="Arial"/>
              </w:rPr>
            </w:pPr>
            <w:r w:rsidRPr="00126EED">
              <w:rPr>
                <w:rFonts w:ascii="Arial" w:hAnsi="Arial" w:cs="Arial"/>
              </w:rPr>
              <w:t>Requiring palliative care</w:t>
            </w:r>
          </w:p>
          <w:p w:rsidR="00126EED" w:rsidRPr="00126EED" w:rsidRDefault="00126EED" w:rsidP="00126EED">
            <w:pPr>
              <w:spacing w:after="0" w:line="240" w:lineRule="auto"/>
              <w:rPr>
                <w:rFonts w:ascii="Arial" w:hAnsi="Arial" w:cs="Arial"/>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126EED" w:rsidRPr="00126EED" w:rsidRDefault="00126EED" w:rsidP="00126EED">
            <w:pPr>
              <w:spacing w:after="0" w:line="240" w:lineRule="auto"/>
              <w:rPr>
                <w:rFonts w:ascii="Arial" w:hAnsi="Arial" w:cs="Arial"/>
              </w:rPr>
            </w:pPr>
            <w:r w:rsidRPr="00126EED">
              <w:rPr>
                <w:rFonts w:ascii="Arial" w:hAnsi="Arial" w:cs="Arial"/>
              </w:rPr>
              <w:t>No current proposal - end of life register not suitable</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rsidR="00126EED" w:rsidRPr="00126EED" w:rsidRDefault="00126EED" w:rsidP="00126EED">
            <w:pPr>
              <w:spacing w:after="0" w:line="240" w:lineRule="auto"/>
              <w:rPr>
                <w:rFonts w:ascii="Arial" w:hAnsi="Arial" w:cs="Arial"/>
              </w:rPr>
            </w:pPr>
            <w:r w:rsidRPr="00126EED">
              <w:rPr>
                <w:rFonts w:ascii="Arial" w:hAnsi="Arial" w:cs="Arial"/>
              </w:rPr>
              <w:t>HK - I would say continuity desirable although many cases are managed largely by palliative care/DN teams. Need for continuity perhaps more of a holistic thing than clinical need... I would feel bad as a GP subjecting a palliative care patient to poor continuity!</w:t>
            </w:r>
            <w:r w:rsidRPr="00126EED">
              <w:rPr>
                <w:rFonts w:ascii="Arial" w:hAnsi="Arial" w:cs="Arial"/>
              </w:rPr>
              <w:br/>
              <w:t xml:space="preserve">JL - Patients coded as palliative care – should be reasonably well documented, or practices could quite quickly start using this code if they wanted to focus on this group </w:t>
            </w:r>
          </w:p>
          <w:p w:rsidR="00126EED" w:rsidRPr="00126EED" w:rsidRDefault="00126EED" w:rsidP="00126EED">
            <w:pPr>
              <w:spacing w:after="0" w:line="240" w:lineRule="auto"/>
              <w:rPr>
                <w:rFonts w:ascii="Arial" w:hAnsi="Arial" w:cs="Arial"/>
              </w:rPr>
            </w:pPr>
            <w:r w:rsidRPr="00126EED">
              <w:rPr>
                <w:rFonts w:ascii="Arial" w:hAnsi="Arial" w:cs="Arial"/>
              </w:rPr>
              <w:t>NM - we code palliative care or you could use one of the codes on the EOL template</w:t>
            </w:r>
          </w:p>
          <w:p w:rsidR="00126EED" w:rsidRPr="00126EED" w:rsidRDefault="00126EED" w:rsidP="00126EED">
            <w:pPr>
              <w:spacing w:after="0" w:line="240" w:lineRule="auto"/>
              <w:rPr>
                <w:rFonts w:ascii="Arial" w:hAnsi="Arial" w:cs="Arial"/>
              </w:rPr>
            </w:pPr>
            <w:r w:rsidRPr="00126EED">
              <w:rPr>
                <w:rFonts w:ascii="Arial" w:hAnsi="Arial" w:cs="Arial"/>
              </w:rPr>
              <w:t>DR - Should already have care package</w:t>
            </w:r>
          </w:p>
        </w:tc>
      </w:tr>
      <w:tr w:rsidR="00126EED" w:rsidRPr="00126EED" w:rsidTr="00126EED">
        <w:tc>
          <w:tcPr>
            <w:tcW w:w="142" w:type="dxa"/>
            <w:tcBorders>
              <w:top w:val="nil"/>
              <w:left w:val="single" w:sz="8" w:space="0" w:color="auto"/>
              <w:bottom w:val="single" w:sz="8" w:space="0" w:color="auto"/>
              <w:right w:val="single" w:sz="8" w:space="0" w:color="auto"/>
            </w:tcBorders>
            <w:shd w:val="clear" w:color="auto" w:fill="9CC2E5" w:themeFill="accent1" w:themeFillTint="99"/>
          </w:tcPr>
          <w:p w:rsidR="00126EED" w:rsidRPr="00126EED" w:rsidRDefault="00126EED" w:rsidP="00126EED">
            <w:pPr>
              <w:spacing w:after="0" w:line="240" w:lineRule="auto"/>
              <w:rPr>
                <w:rFonts w:ascii="Arial" w:hAnsi="Arial" w:cs="Arial"/>
              </w:rPr>
            </w:pPr>
          </w:p>
        </w:tc>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6EED" w:rsidRPr="00126EED" w:rsidRDefault="00126EED" w:rsidP="00126EED">
            <w:pPr>
              <w:spacing w:after="0" w:line="240" w:lineRule="auto"/>
              <w:rPr>
                <w:rFonts w:ascii="Arial" w:hAnsi="Arial" w:cs="Arial"/>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126EED" w:rsidRPr="00126EED" w:rsidRDefault="00126EED" w:rsidP="00126EED">
            <w:pPr>
              <w:spacing w:after="0" w:line="240" w:lineRule="auto"/>
              <w:rPr>
                <w:rFonts w:ascii="Arial" w:hAnsi="Arial" w:cs="Arial"/>
              </w:rPr>
            </w:pPr>
          </w:p>
        </w:tc>
        <w:tc>
          <w:tcPr>
            <w:tcW w:w="6095"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rsidR="00126EED" w:rsidRPr="00126EED" w:rsidRDefault="00126EED" w:rsidP="00126EED">
            <w:pPr>
              <w:spacing w:after="0" w:line="240" w:lineRule="auto"/>
              <w:rPr>
                <w:rFonts w:ascii="Arial" w:hAnsi="Arial" w:cs="Arial"/>
              </w:rPr>
            </w:pPr>
            <w:r w:rsidRPr="00126EED">
              <w:rPr>
                <w:rFonts w:ascii="Arial" w:hAnsi="Arial" w:cs="Arial"/>
              </w:rPr>
              <w:t>Summary:</w:t>
            </w:r>
          </w:p>
          <w:p w:rsidR="00126EED" w:rsidRPr="00126EED" w:rsidRDefault="00126EED" w:rsidP="00126EED">
            <w:pPr>
              <w:spacing w:after="0" w:line="240" w:lineRule="auto"/>
              <w:rPr>
                <w:rFonts w:ascii="Arial" w:hAnsi="Arial" w:cs="Arial"/>
              </w:rPr>
            </w:pPr>
            <w:r w:rsidRPr="00126EED">
              <w:rPr>
                <w:rFonts w:ascii="Arial" w:hAnsi="Arial" w:cs="Arial"/>
              </w:rPr>
              <w:t>May not be appropriate for a cohort list.  If chosen, will need specific work with each practice to identify the cohort</w:t>
            </w:r>
          </w:p>
        </w:tc>
      </w:tr>
      <w:tr w:rsidR="00126EED" w:rsidRPr="00126EED" w:rsidTr="00126EED">
        <w:tc>
          <w:tcPr>
            <w:tcW w:w="142" w:type="dxa"/>
            <w:tcBorders>
              <w:top w:val="nil"/>
              <w:left w:val="single" w:sz="8" w:space="0" w:color="auto"/>
              <w:bottom w:val="single" w:sz="8" w:space="0" w:color="auto"/>
              <w:right w:val="single" w:sz="8" w:space="0" w:color="auto"/>
            </w:tcBorders>
            <w:shd w:val="clear" w:color="auto" w:fill="9CC2E5" w:themeFill="accent1" w:themeFillTint="99"/>
          </w:tcPr>
          <w:p w:rsidR="00126EED" w:rsidRPr="00126EED" w:rsidRDefault="00126EED" w:rsidP="00126EED">
            <w:pPr>
              <w:spacing w:after="0" w:line="240" w:lineRule="auto"/>
              <w:rPr>
                <w:rFonts w:ascii="Arial" w:hAnsi="Arial" w:cs="Arial"/>
              </w:rPr>
            </w:pPr>
          </w:p>
        </w:tc>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6EED" w:rsidRPr="00126EED" w:rsidRDefault="00126EED" w:rsidP="00126EED">
            <w:pPr>
              <w:spacing w:after="0" w:line="240" w:lineRule="auto"/>
              <w:rPr>
                <w:rFonts w:ascii="Arial" w:hAnsi="Arial" w:cs="Arial"/>
              </w:rPr>
            </w:pPr>
            <w:r w:rsidRPr="00126EED">
              <w:rPr>
                <w:rFonts w:ascii="Arial" w:hAnsi="Arial" w:cs="Arial"/>
              </w:rPr>
              <w:t>Frail with co-morbidities</w:t>
            </w:r>
          </w:p>
          <w:p w:rsidR="00126EED" w:rsidRPr="00126EED" w:rsidRDefault="00126EED" w:rsidP="00126EED">
            <w:pPr>
              <w:spacing w:after="0" w:line="240" w:lineRule="auto"/>
              <w:rPr>
                <w:rFonts w:ascii="Arial" w:hAnsi="Arial" w:cs="Arial"/>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126EED" w:rsidRPr="00126EED" w:rsidRDefault="00126EED" w:rsidP="00126EED">
            <w:pPr>
              <w:spacing w:after="0" w:line="240" w:lineRule="auto"/>
              <w:rPr>
                <w:rFonts w:ascii="Arial" w:hAnsi="Arial" w:cs="Arial"/>
              </w:rPr>
            </w:pPr>
            <w:r w:rsidRPr="00126EED">
              <w:rPr>
                <w:rFonts w:ascii="Arial" w:hAnsi="Arial" w:cs="Arial"/>
              </w:rPr>
              <w:t>Suggest we use the electronic frailty index (</w:t>
            </w:r>
            <w:proofErr w:type="spellStart"/>
            <w:r w:rsidRPr="00126EED">
              <w:rPr>
                <w:rFonts w:ascii="Arial" w:hAnsi="Arial" w:cs="Arial"/>
              </w:rPr>
              <w:t>eFI</w:t>
            </w:r>
            <w:proofErr w:type="spellEnd"/>
            <w:r w:rsidRPr="00126EED">
              <w:rPr>
                <w:rFonts w:ascii="Arial" w:hAnsi="Arial" w:cs="Arial"/>
              </w:rPr>
              <w:t xml:space="preserve">) but need feedback on a suitable score </w:t>
            </w:r>
            <w:proofErr w:type="spellStart"/>
            <w:r w:rsidRPr="00126EED">
              <w:rPr>
                <w:rFonts w:ascii="Arial" w:hAnsi="Arial" w:cs="Arial"/>
              </w:rPr>
              <w:t>ie</w:t>
            </w:r>
            <w:proofErr w:type="spellEnd"/>
            <w:r w:rsidRPr="00126EED">
              <w:rPr>
                <w:rFonts w:ascii="Arial" w:hAnsi="Arial" w:cs="Arial"/>
              </w:rPr>
              <w:t xml:space="preserve"> how many deficits out of 36</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rsidR="00126EED" w:rsidRPr="00126EED" w:rsidRDefault="00126EED" w:rsidP="00126EED">
            <w:pPr>
              <w:spacing w:after="0" w:line="240" w:lineRule="auto"/>
              <w:rPr>
                <w:rFonts w:ascii="Arial" w:hAnsi="Arial" w:cs="Arial"/>
              </w:rPr>
            </w:pPr>
            <w:r w:rsidRPr="00126EED">
              <w:rPr>
                <w:rFonts w:ascii="Arial" w:hAnsi="Arial" w:cs="Arial"/>
              </w:rPr>
              <w:t xml:space="preserve">HK - Is there evidence to guide a score threshold? I don’t have too much knowledge around </w:t>
            </w:r>
            <w:proofErr w:type="spellStart"/>
            <w:r w:rsidRPr="00126EED">
              <w:rPr>
                <w:rFonts w:ascii="Arial" w:hAnsi="Arial" w:cs="Arial"/>
              </w:rPr>
              <w:t>eFI</w:t>
            </w:r>
            <w:proofErr w:type="spellEnd"/>
            <w:r w:rsidRPr="00126EED">
              <w:rPr>
                <w:rFonts w:ascii="Arial" w:hAnsi="Arial" w:cs="Arial"/>
              </w:rPr>
              <w:t xml:space="preserve"> and how it correlates to real life outcomes but in my experience, patients can often have quite high score but are still quite independent and happy with less continuity. That is not to say they wouldn’t benefit from continuity of course but I suspect the converse is also true- it only takes a single deficit to be severe to render a patient extremely vulnerable and in high need of continuity.</w:t>
            </w:r>
          </w:p>
          <w:p w:rsidR="00126EED" w:rsidRPr="00126EED" w:rsidRDefault="00126EED" w:rsidP="00126EED">
            <w:pPr>
              <w:spacing w:after="0" w:line="240" w:lineRule="auto"/>
              <w:rPr>
                <w:rFonts w:ascii="Arial" w:hAnsi="Arial" w:cs="Arial"/>
              </w:rPr>
            </w:pPr>
            <w:r w:rsidRPr="00126EED">
              <w:rPr>
                <w:rFonts w:ascii="Arial" w:hAnsi="Arial" w:cs="Arial"/>
              </w:rPr>
              <w:t>RB - Not sure what definition of frail as it’s so vague. You might just say multi-morbidity and leave out the word frail (it has quite a judgemental feel although with the whole “frailty agenda I guess it’s here to stay for a while</w:t>
            </w:r>
          </w:p>
          <w:p w:rsidR="00126EED" w:rsidRPr="00126EED" w:rsidRDefault="00126EED" w:rsidP="00126EED">
            <w:pPr>
              <w:spacing w:after="0" w:line="240" w:lineRule="auto"/>
              <w:rPr>
                <w:rFonts w:ascii="Arial" w:hAnsi="Arial" w:cs="Arial"/>
              </w:rPr>
            </w:pPr>
            <w:r w:rsidRPr="00126EED">
              <w:rPr>
                <w:rFonts w:ascii="Arial" w:hAnsi="Arial" w:cs="Arial"/>
              </w:rPr>
              <w:t xml:space="preserve">JL - </w:t>
            </w:r>
            <w:proofErr w:type="spellStart"/>
            <w:r w:rsidRPr="00126EED">
              <w:rPr>
                <w:rFonts w:ascii="Arial" w:hAnsi="Arial" w:cs="Arial"/>
              </w:rPr>
              <w:t>eFI</w:t>
            </w:r>
            <w:proofErr w:type="spellEnd"/>
            <w:r w:rsidRPr="00126EED">
              <w:rPr>
                <w:rFonts w:ascii="Arial" w:hAnsi="Arial" w:cs="Arial"/>
              </w:rPr>
              <w:t xml:space="preserve"> 0.25-0.36 and </w:t>
            </w:r>
            <w:proofErr w:type="spellStart"/>
            <w:r w:rsidRPr="00126EED">
              <w:rPr>
                <w:rFonts w:ascii="Arial" w:hAnsi="Arial" w:cs="Arial"/>
              </w:rPr>
              <w:t>eFI</w:t>
            </w:r>
            <w:proofErr w:type="spellEnd"/>
            <w:r w:rsidRPr="00126EED">
              <w:rPr>
                <w:rFonts w:ascii="Arial" w:hAnsi="Arial" w:cs="Arial"/>
              </w:rPr>
              <w:t xml:space="preserve"> &gt;0.36 and Rockwood Score 7-9 Severe Frailty</w:t>
            </w:r>
          </w:p>
          <w:p w:rsidR="00126EED" w:rsidRPr="00126EED" w:rsidRDefault="00126EED" w:rsidP="00126EED">
            <w:pPr>
              <w:spacing w:after="0" w:line="240" w:lineRule="auto"/>
              <w:rPr>
                <w:rFonts w:ascii="Arial" w:hAnsi="Arial" w:cs="Arial"/>
              </w:rPr>
            </w:pPr>
            <w:r w:rsidRPr="00126EED">
              <w:rPr>
                <w:rFonts w:ascii="Arial" w:hAnsi="Arial" w:cs="Arial"/>
              </w:rPr>
              <w:t>these would be the starting points – practice can decide whether they want severe, or mod and severe</w:t>
            </w:r>
          </w:p>
          <w:p w:rsidR="00126EED" w:rsidRPr="00126EED" w:rsidRDefault="00126EED" w:rsidP="00126EED">
            <w:pPr>
              <w:spacing w:after="0" w:line="240" w:lineRule="auto"/>
              <w:rPr>
                <w:rFonts w:ascii="Arial" w:hAnsi="Arial" w:cs="Arial"/>
              </w:rPr>
            </w:pPr>
            <w:r w:rsidRPr="00126EED">
              <w:rPr>
                <w:rFonts w:ascii="Arial" w:hAnsi="Arial" w:cs="Arial"/>
              </w:rPr>
              <w:t>NM - possibly home visiting consultations</w:t>
            </w:r>
          </w:p>
          <w:p w:rsidR="00126EED" w:rsidRPr="00126EED" w:rsidRDefault="00126EED" w:rsidP="00126EED">
            <w:pPr>
              <w:spacing w:after="0" w:line="240" w:lineRule="auto"/>
              <w:rPr>
                <w:rFonts w:ascii="Arial" w:hAnsi="Arial" w:cs="Arial"/>
              </w:rPr>
            </w:pPr>
            <w:r w:rsidRPr="00126EED">
              <w:rPr>
                <w:rFonts w:ascii="Arial" w:hAnsi="Arial" w:cs="Arial"/>
              </w:rPr>
              <w:t>DR - 0.36 = X6 risk admissions - not sure numbers this might create</w:t>
            </w:r>
          </w:p>
        </w:tc>
      </w:tr>
      <w:tr w:rsidR="00126EED" w:rsidRPr="00126EED" w:rsidTr="00126EED">
        <w:tc>
          <w:tcPr>
            <w:tcW w:w="142" w:type="dxa"/>
            <w:tcBorders>
              <w:top w:val="nil"/>
              <w:left w:val="single" w:sz="8" w:space="0" w:color="auto"/>
              <w:bottom w:val="single" w:sz="8" w:space="0" w:color="auto"/>
              <w:right w:val="single" w:sz="8" w:space="0" w:color="auto"/>
            </w:tcBorders>
            <w:shd w:val="clear" w:color="auto" w:fill="9CC2E5" w:themeFill="accent1" w:themeFillTint="99"/>
          </w:tcPr>
          <w:p w:rsidR="00126EED" w:rsidRPr="00126EED" w:rsidRDefault="00126EED" w:rsidP="00126EED">
            <w:pPr>
              <w:spacing w:after="0" w:line="240" w:lineRule="auto"/>
              <w:rPr>
                <w:rFonts w:ascii="Arial" w:hAnsi="Arial" w:cs="Arial"/>
              </w:rPr>
            </w:pPr>
          </w:p>
        </w:tc>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6EED" w:rsidRPr="00126EED" w:rsidRDefault="00126EED" w:rsidP="00126EED">
            <w:pPr>
              <w:spacing w:after="0" w:line="240" w:lineRule="auto"/>
              <w:rPr>
                <w:rFonts w:ascii="Arial" w:hAnsi="Arial" w:cs="Arial"/>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126EED" w:rsidRPr="00126EED" w:rsidRDefault="00126EED" w:rsidP="00126EED">
            <w:pPr>
              <w:spacing w:after="0" w:line="240" w:lineRule="auto"/>
              <w:rPr>
                <w:rFonts w:ascii="Arial" w:hAnsi="Arial" w:cs="Arial"/>
              </w:rPr>
            </w:pPr>
          </w:p>
        </w:tc>
        <w:tc>
          <w:tcPr>
            <w:tcW w:w="6095"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rsidR="00126EED" w:rsidRPr="00126EED" w:rsidRDefault="00126EED" w:rsidP="00126EED">
            <w:pPr>
              <w:spacing w:after="0" w:line="240" w:lineRule="auto"/>
              <w:rPr>
                <w:rFonts w:ascii="Arial" w:hAnsi="Arial" w:cs="Arial"/>
              </w:rPr>
            </w:pPr>
            <w:r w:rsidRPr="00126EED">
              <w:rPr>
                <w:rFonts w:ascii="Arial" w:hAnsi="Arial" w:cs="Arial"/>
              </w:rPr>
              <w:t>Summary:</w:t>
            </w:r>
          </w:p>
          <w:p w:rsidR="00126EED" w:rsidRPr="00126EED" w:rsidRDefault="00126EED" w:rsidP="00126EED">
            <w:pPr>
              <w:spacing w:after="0" w:line="240" w:lineRule="auto"/>
              <w:rPr>
                <w:rFonts w:ascii="Arial" w:hAnsi="Arial" w:cs="Arial"/>
              </w:rPr>
            </w:pPr>
            <w:proofErr w:type="spellStart"/>
            <w:r w:rsidRPr="00126EED">
              <w:rPr>
                <w:rFonts w:ascii="Arial" w:hAnsi="Arial" w:cs="Arial"/>
              </w:rPr>
              <w:t>eFI</w:t>
            </w:r>
            <w:proofErr w:type="spellEnd"/>
            <w:r w:rsidRPr="00126EED">
              <w:rPr>
                <w:rFonts w:ascii="Arial" w:hAnsi="Arial" w:cs="Arial"/>
              </w:rPr>
              <w:t xml:space="preserve"> 0.25-0.36</w:t>
            </w:r>
          </w:p>
          <w:p w:rsidR="00126EED" w:rsidRPr="00126EED" w:rsidRDefault="00126EED" w:rsidP="00126EED">
            <w:pPr>
              <w:spacing w:after="0" w:line="240" w:lineRule="auto"/>
              <w:rPr>
                <w:rFonts w:ascii="Arial" w:hAnsi="Arial" w:cs="Arial"/>
              </w:rPr>
            </w:pPr>
            <w:r w:rsidRPr="00126EED">
              <w:rPr>
                <w:rFonts w:ascii="Arial" w:hAnsi="Arial" w:cs="Arial"/>
              </w:rPr>
              <w:t>Rockwood 6 Moderate Frailty or Rockwood Score 7-9 Severe Frailty</w:t>
            </w:r>
          </w:p>
          <w:p w:rsidR="00126EED" w:rsidRPr="00126EED" w:rsidRDefault="00126EED" w:rsidP="00126EED">
            <w:pPr>
              <w:spacing w:after="0" w:line="240" w:lineRule="auto"/>
              <w:rPr>
                <w:rFonts w:ascii="Arial" w:hAnsi="Arial" w:cs="Arial"/>
              </w:rPr>
            </w:pPr>
            <w:r w:rsidRPr="00126EED">
              <w:rPr>
                <w:rFonts w:ascii="Arial" w:hAnsi="Arial" w:cs="Arial"/>
              </w:rPr>
              <w:t>Then check numbers created</w:t>
            </w:r>
          </w:p>
        </w:tc>
      </w:tr>
      <w:tr w:rsidR="00126EED" w:rsidRPr="00126EED" w:rsidTr="00126EED">
        <w:tc>
          <w:tcPr>
            <w:tcW w:w="142" w:type="dxa"/>
            <w:tcBorders>
              <w:top w:val="nil"/>
              <w:left w:val="single" w:sz="8" w:space="0" w:color="auto"/>
              <w:bottom w:val="single" w:sz="8" w:space="0" w:color="auto"/>
              <w:right w:val="single" w:sz="8" w:space="0" w:color="auto"/>
            </w:tcBorders>
            <w:shd w:val="clear" w:color="auto" w:fill="9CC2E5" w:themeFill="accent1" w:themeFillTint="99"/>
          </w:tcPr>
          <w:p w:rsidR="00126EED" w:rsidRPr="00126EED" w:rsidRDefault="00126EED" w:rsidP="00126EED">
            <w:pPr>
              <w:spacing w:after="0" w:line="240" w:lineRule="auto"/>
              <w:rPr>
                <w:rFonts w:ascii="Arial" w:hAnsi="Arial" w:cs="Arial"/>
              </w:rPr>
            </w:pPr>
          </w:p>
        </w:tc>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6EED" w:rsidRPr="00126EED" w:rsidRDefault="00126EED" w:rsidP="00126EED">
            <w:pPr>
              <w:spacing w:after="0" w:line="240" w:lineRule="auto"/>
              <w:rPr>
                <w:rFonts w:ascii="Arial" w:hAnsi="Arial" w:cs="Arial"/>
              </w:rPr>
            </w:pPr>
            <w:r w:rsidRPr="00126EED">
              <w:rPr>
                <w:rFonts w:ascii="Arial" w:hAnsi="Arial" w:cs="Arial"/>
              </w:rPr>
              <w:t>Frequent attenders</w:t>
            </w:r>
          </w:p>
          <w:p w:rsidR="00126EED" w:rsidRPr="00126EED" w:rsidRDefault="00126EED" w:rsidP="00126EED">
            <w:pPr>
              <w:spacing w:after="0" w:line="240" w:lineRule="auto"/>
              <w:rPr>
                <w:rFonts w:ascii="Arial" w:hAnsi="Arial" w:cs="Arial"/>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126EED" w:rsidRPr="00126EED" w:rsidRDefault="00126EED" w:rsidP="00126EED">
            <w:pPr>
              <w:spacing w:after="0" w:line="240" w:lineRule="auto"/>
              <w:rPr>
                <w:rFonts w:ascii="Arial" w:hAnsi="Arial" w:cs="Arial"/>
              </w:rPr>
            </w:pPr>
            <w:r w:rsidRPr="00126EED">
              <w:rPr>
                <w:rFonts w:ascii="Arial" w:hAnsi="Arial" w:cs="Arial"/>
              </w:rPr>
              <w:t>National average is 6 appointments a year so suggest use 7 and over</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rsidR="00126EED" w:rsidRPr="00126EED" w:rsidRDefault="00126EED" w:rsidP="00126EED">
            <w:pPr>
              <w:spacing w:after="0" w:line="240" w:lineRule="auto"/>
              <w:rPr>
                <w:rFonts w:ascii="Arial" w:hAnsi="Arial" w:cs="Arial"/>
              </w:rPr>
            </w:pPr>
            <w:r w:rsidRPr="00126EED">
              <w:rPr>
                <w:rFonts w:ascii="Arial" w:hAnsi="Arial" w:cs="Arial"/>
              </w:rPr>
              <w:t xml:space="preserve">HK - Seems about right though in certain groups, particularly young children, there may be a high proportion of those who hit 7 </w:t>
            </w:r>
            <w:proofErr w:type="spellStart"/>
            <w:r w:rsidRPr="00126EED">
              <w:rPr>
                <w:rFonts w:ascii="Arial" w:hAnsi="Arial" w:cs="Arial"/>
              </w:rPr>
              <w:t>appts</w:t>
            </w:r>
            <w:proofErr w:type="spellEnd"/>
            <w:r w:rsidRPr="00126EED">
              <w:rPr>
                <w:rFonts w:ascii="Arial" w:hAnsi="Arial" w:cs="Arial"/>
              </w:rPr>
              <w:t>/year with minor illnesses that often don’t need continuity. This group in particular (i.e. young families) tend to value access &amp; convenience over continuity.</w:t>
            </w:r>
          </w:p>
          <w:p w:rsidR="00126EED" w:rsidRPr="00126EED" w:rsidRDefault="00126EED" w:rsidP="00126EED">
            <w:pPr>
              <w:spacing w:after="0" w:line="240" w:lineRule="auto"/>
              <w:rPr>
                <w:rFonts w:ascii="Arial" w:hAnsi="Arial" w:cs="Arial"/>
              </w:rPr>
            </w:pPr>
            <w:r w:rsidRPr="00126EED">
              <w:rPr>
                <w:rFonts w:ascii="Arial" w:hAnsi="Arial" w:cs="Arial"/>
              </w:rPr>
              <w:t xml:space="preserve">RB - This is a can of worms. Might be worth having a look at the 10 high impact modules from productive general practice. High users will be people having dressings or </w:t>
            </w:r>
            <w:r w:rsidRPr="00126EED">
              <w:rPr>
                <w:rFonts w:ascii="Arial" w:hAnsi="Arial" w:cs="Arial"/>
              </w:rPr>
              <w:lastRenderedPageBreak/>
              <w:t>methadone…. need to exclude these. Then need to decide whether you go for the very high users or mid-range.</w:t>
            </w:r>
          </w:p>
          <w:p w:rsidR="00126EED" w:rsidRPr="00126EED" w:rsidRDefault="00126EED" w:rsidP="00126EED">
            <w:pPr>
              <w:spacing w:after="0" w:line="240" w:lineRule="auto"/>
              <w:rPr>
                <w:rFonts w:ascii="Arial" w:hAnsi="Arial" w:cs="Arial"/>
              </w:rPr>
            </w:pPr>
            <w:r w:rsidRPr="00126EED">
              <w:rPr>
                <w:rFonts w:ascii="Arial" w:hAnsi="Arial" w:cs="Arial"/>
              </w:rPr>
              <w:t xml:space="preserve">JL - Top certain %? It will depend on actual numbers of patients. </w:t>
            </w:r>
          </w:p>
          <w:p w:rsidR="00126EED" w:rsidRPr="00126EED" w:rsidRDefault="00126EED" w:rsidP="00126EED">
            <w:pPr>
              <w:spacing w:after="0" w:line="240" w:lineRule="auto"/>
              <w:rPr>
                <w:rFonts w:ascii="Arial" w:hAnsi="Arial" w:cs="Arial"/>
              </w:rPr>
            </w:pPr>
            <w:r w:rsidRPr="00126EED">
              <w:rPr>
                <w:rFonts w:ascii="Arial" w:hAnsi="Arial" w:cs="Arial"/>
              </w:rPr>
              <w:t xml:space="preserve">I would guess those that are coming once per month  so 12 / year </w:t>
            </w:r>
          </w:p>
          <w:p w:rsidR="00126EED" w:rsidRPr="00126EED" w:rsidRDefault="00126EED" w:rsidP="00126EED">
            <w:pPr>
              <w:spacing w:after="0" w:line="240" w:lineRule="auto"/>
              <w:rPr>
                <w:rFonts w:ascii="Arial" w:hAnsi="Arial" w:cs="Arial"/>
              </w:rPr>
            </w:pPr>
            <w:r w:rsidRPr="00126EED">
              <w:rPr>
                <w:rFonts w:ascii="Arial" w:hAnsi="Arial" w:cs="Arial"/>
              </w:rPr>
              <w:t xml:space="preserve">Need to set at a level where it is a manageable population size and is going to give the most value – this may be variable for each practice. </w:t>
            </w:r>
          </w:p>
          <w:p w:rsidR="00126EED" w:rsidRPr="00126EED" w:rsidRDefault="00126EED" w:rsidP="00126EED">
            <w:pPr>
              <w:spacing w:after="0" w:line="240" w:lineRule="auto"/>
              <w:rPr>
                <w:rFonts w:ascii="Arial" w:hAnsi="Arial" w:cs="Arial"/>
              </w:rPr>
            </w:pPr>
            <w:r w:rsidRPr="00126EED">
              <w:rPr>
                <w:rFonts w:ascii="Arial" w:hAnsi="Arial" w:cs="Arial"/>
              </w:rPr>
              <w:t xml:space="preserve">Will need to define is this GP </w:t>
            </w:r>
            <w:proofErr w:type="spellStart"/>
            <w:r w:rsidRPr="00126EED">
              <w:rPr>
                <w:rFonts w:ascii="Arial" w:hAnsi="Arial" w:cs="Arial"/>
              </w:rPr>
              <w:t>appts</w:t>
            </w:r>
            <w:proofErr w:type="spellEnd"/>
            <w:r w:rsidRPr="00126EED">
              <w:rPr>
                <w:rFonts w:ascii="Arial" w:hAnsi="Arial" w:cs="Arial"/>
              </w:rPr>
              <w:t xml:space="preserve">, + nurse/HCA appointments or just GP, </w:t>
            </w:r>
          </w:p>
          <w:p w:rsidR="00126EED" w:rsidRPr="00126EED" w:rsidRDefault="00126EED" w:rsidP="00126EED">
            <w:pPr>
              <w:spacing w:after="0" w:line="240" w:lineRule="auto"/>
              <w:rPr>
                <w:rFonts w:ascii="Arial" w:hAnsi="Arial" w:cs="Arial"/>
              </w:rPr>
            </w:pPr>
            <w:r w:rsidRPr="00126EED">
              <w:rPr>
                <w:rFonts w:ascii="Arial" w:hAnsi="Arial" w:cs="Arial"/>
              </w:rPr>
              <w:t xml:space="preserve">NM - We recently looked at </w:t>
            </w:r>
            <w:proofErr w:type="spellStart"/>
            <w:r w:rsidRPr="00126EED">
              <w:rPr>
                <w:rFonts w:ascii="Arial" w:hAnsi="Arial" w:cs="Arial"/>
              </w:rPr>
              <w:t>freqt</w:t>
            </w:r>
            <w:proofErr w:type="spellEnd"/>
            <w:r w:rsidRPr="00126EED">
              <w:rPr>
                <w:rFonts w:ascii="Arial" w:hAnsi="Arial" w:cs="Arial"/>
              </w:rPr>
              <w:t xml:space="preserve"> attenders 10-20 GP consults/</w:t>
            </w:r>
            <w:proofErr w:type="spellStart"/>
            <w:r w:rsidRPr="00126EED">
              <w:rPr>
                <w:rFonts w:ascii="Arial" w:hAnsi="Arial" w:cs="Arial"/>
              </w:rPr>
              <w:t>yr</w:t>
            </w:r>
            <w:proofErr w:type="spellEnd"/>
            <w:r w:rsidRPr="00126EED">
              <w:rPr>
                <w:rFonts w:ascii="Arial" w:hAnsi="Arial" w:cs="Arial"/>
              </w:rPr>
              <w:t xml:space="preserve"> (122) 20-25 (33) &gt;25 consults (6)</w:t>
            </w:r>
          </w:p>
          <w:p w:rsidR="00126EED" w:rsidRPr="00126EED" w:rsidRDefault="00126EED" w:rsidP="00126EED">
            <w:pPr>
              <w:spacing w:after="0" w:line="240" w:lineRule="auto"/>
              <w:rPr>
                <w:rFonts w:ascii="Arial" w:hAnsi="Arial" w:cs="Arial"/>
              </w:rPr>
            </w:pPr>
            <w:r w:rsidRPr="00126EED">
              <w:rPr>
                <w:rFonts w:ascii="Arial" w:hAnsi="Arial" w:cs="Arial"/>
              </w:rPr>
              <w:t xml:space="preserve">Similarly, for nursing </w:t>
            </w:r>
            <w:proofErr w:type="spellStart"/>
            <w:r w:rsidRPr="00126EED">
              <w:rPr>
                <w:rFonts w:ascii="Arial" w:hAnsi="Arial" w:cs="Arial"/>
              </w:rPr>
              <w:t>appts</w:t>
            </w:r>
            <w:proofErr w:type="spellEnd"/>
            <w:r w:rsidRPr="00126EED">
              <w:rPr>
                <w:rFonts w:ascii="Arial" w:hAnsi="Arial" w:cs="Arial"/>
              </w:rPr>
              <w:t xml:space="preserve"> &gt;25 (less useful). Population 15900. I would go for &gt;10</w:t>
            </w:r>
          </w:p>
          <w:p w:rsidR="00126EED" w:rsidRPr="00126EED" w:rsidRDefault="00126EED" w:rsidP="00126EED">
            <w:pPr>
              <w:spacing w:after="0" w:line="240" w:lineRule="auto"/>
              <w:rPr>
                <w:rFonts w:ascii="Arial" w:hAnsi="Arial" w:cs="Arial"/>
              </w:rPr>
            </w:pPr>
            <w:r w:rsidRPr="00126EED">
              <w:rPr>
                <w:rFonts w:ascii="Arial" w:hAnsi="Arial" w:cs="Arial"/>
              </w:rPr>
              <w:t xml:space="preserve">DR - Difficult with comorbidities / chronic disease clinics - but I would suggest 12 </w:t>
            </w:r>
            <w:proofErr w:type="spellStart"/>
            <w:r w:rsidRPr="00126EED">
              <w:rPr>
                <w:rFonts w:ascii="Arial" w:hAnsi="Arial" w:cs="Arial"/>
              </w:rPr>
              <w:t>ie</w:t>
            </w:r>
            <w:proofErr w:type="spellEnd"/>
            <w:r w:rsidRPr="00126EED">
              <w:rPr>
                <w:rFonts w:ascii="Arial" w:hAnsi="Arial" w:cs="Arial"/>
              </w:rPr>
              <w:t xml:space="preserve"> 1x month - again not sure what numbers this might generate</w:t>
            </w:r>
          </w:p>
        </w:tc>
      </w:tr>
      <w:tr w:rsidR="00126EED" w:rsidRPr="00126EED" w:rsidTr="00126EED">
        <w:tc>
          <w:tcPr>
            <w:tcW w:w="142" w:type="dxa"/>
            <w:tcBorders>
              <w:top w:val="nil"/>
              <w:left w:val="single" w:sz="8" w:space="0" w:color="auto"/>
              <w:bottom w:val="single" w:sz="8" w:space="0" w:color="auto"/>
              <w:right w:val="single" w:sz="8" w:space="0" w:color="auto"/>
            </w:tcBorders>
            <w:shd w:val="clear" w:color="auto" w:fill="9CC2E5" w:themeFill="accent1" w:themeFillTint="99"/>
          </w:tcPr>
          <w:p w:rsidR="00126EED" w:rsidRPr="00126EED" w:rsidRDefault="00126EED" w:rsidP="00126EED">
            <w:pPr>
              <w:spacing w:after="0" w:line="240" w:lineRule="auto"/>
              <w:rPr>
                <w:rFonts w:ascii="Arial" w:hAnsi="Arial" w:cs="Arial"/>
              </w:rPr>
            </w:pPr>
          </w:p>
        </w:tc>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6EED" w:rsidRPr="00126EED" w:rsidRDefault="00126EED" w:rsidP="00126EED">
            <w:pPr>
              <w:spacing w:after="0" w:line="240" w:lineRule="auto"/>
              <w:rPr>
                <w:rFonts w:ascii="Arial" w:hAnsi="Arial" w:cs="Arial"/>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126EED" w:rsidRPr="00126EED" w:rsidRDefault="00126EED" w:rsidP="00126EED">
            <w:pPr>
              <w:spacing w:after="0" w:line="240" w:lineRule="auto"/>
              <w:rPr>
                <w:rFonts w:ascii="Arial" w:hAnsi="Arial" w:cs="Arial"/>
              </w:rPr>
            </w:pPr>
          </w:p>
        </w:tc>
        <w:tc>
          <w:tcPr>
            <w:tcW w:w="6095"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rsidR="00126EED" w:rsidRPr="00126EED" w:rsidRDefault="00126EED" w:rsidP="00126EED">
            <w:pPr>
              <w:spacing w:after="0" w:line="240" w:lineRule="auto"/>
              <w:rPr>
                <w:rFonts w:ascii="Arial" w:hAnsi="Arial" w:cs="Arial"/>
              </w:rPr>
            </w:pPr>
            <w:r w:rsidRPr="00126EED">
              <w:rPr>
                <w:rFonts w:ascii="Arial" w:hAnsi="Arial" w:cs="Arial"/>
              </w:rPr>
              <w:t>Summary:</w:t>
            </w:r>
          </w:p>
          <w:p w:rsidR="00126EED" w:rsidRPr="00126EED" w:rsidRDefault="00126EED" w:rsidP="00126EED">
            <w:pPr>
              <w:spacing w:after="0" w:line="240" w:lineRule="auto"/>
              <w:rPr>
                <w:rFonts w:ascii="Arial" w:hAnsi="Arial" w:cs="Arial"/>
              </w:rPr>
            </w:pPr>
            <w:r w:rsidRPr="00126EED">
              <w:rPr>
                <w:rFonts w:ascii="Arial" w:hAnsi="Arial" w:cs="Arial"/>
              </w:rPr>
              <w:t>Over 10 or over 12.  GP appointments only</w:t>
            </w:r>
          </w:p>
        </w:tc>
      </w:tr>
      <w:tr w:rsidR="00126EED" w:rsidRPr="00126EED" w:rsidTr="00126EED">
        <w:tc>
          <w:tcPr>
            <w:tcW w:w="142" w:type="dxa"/>
            <w:tcBorders>
              <w:top w:val="nil"/>
              <w:left w:val="single" w:sz="8" w:space="0" w:color="auto"/>
              <w:bottom w:val="single" w:sz="8" w:space="0" w:color="auto"/>
              <w:right w:val="single" w:sz="8" w:space="0" w:color="auto"/>
            </w:tcBorders>
            <w:shd w:val="clear" w:color="auto" w:fill="9CC2E5" w:themeFill="accent1" w:themeFillTint="99"/>
          </w:tcPr>
          <w:p w:rsidR="00126EED" w:rsidRPr="00126EED" w:rsidRDefault="00126EED" w:rsidP="00126EED">
            <w:pPr>
              <w:spacing w:after="0" w:line="240" w:lineRule="auto"/>
              <w:rPr>
                <w:rFonts w:ascii="Arial" w:hAnsi="Arial" w:cs="Arial"/>
              </w:rPr>
            </w:pPr>
          </w:p>
        </w:tc>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6EED" w:rsidRPr="00126EED" w:rsidRDefault="00126EED" w:rsidP="00126EED">
            <w:pPr>
              <w:spacing w:after="0" w:line="240" w:lineRule="auto"/>
              <w:rPr>
                <w:rFonts w:ascii="Arial" w:hAnsi="Arial" w:cs="Arial"/>
              </w:rPr>
            </w:pPr>
            <w:r w:rsidRPr="00126EED">
              <w:rPr>
                <w:rFonts w:ascii="Arial" w:hAnsi="Arial" w:cs="Arial"/>
              </w:rPr>
              <w:t>Poly-pharmacy</w:t>
            </w:r>
          </w:p>
          <w:p w:rsidR="00126EED" w:rsidRPr="00126EED" w:rsidRDefault="00126EED" w:rsidP="00126EED">
            <w:pPr>
              <w:spacing w:after="0" w:line="240" w:lineRule="auto"/>
              <w:rPr>
                <w:rFonts w:ascii="Arial" w:hAnsi="Arial" w:cs="Arial"/>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126EED" w:rsidRPr="00126EED" w:rsidRDefault="00126EED" w:rsidP="00126EED">
            <w:pPr>
              <w:spacing w:after="0" w:line="240" w:lineRule="auto"/>
              <w:rPr>
                <w:rFonts w:ascii="Arial" w:hAnsi="Arial" w:cs="Arial"/>
              </w:rPr>
            </w:pPr>
            <w:r w:rsidRPr="00126EED">
              <w:rPr>
                <w:rFonts w:ascii="Arial" w:hAnsi="Arial" w:cs="Arial"/>
              </w:rPr>
              <w:t>Historically 5 items or more has been used, but this seems quite low</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rsidR="00126EED" w:rsidRPr="00126EED" w:rsidRDefault="00126EED" w:rsidP="00126EED">
            <w:pPr>
              <w:spacing w:after="0" w:line="240" w:lineRule="auto"/>
              <w:rPr>
                <w:rFonts w:ascii="Arial" w:hAnsi="Arial" w:cs="Arial"/>
              </w:rPr>
            </w:pPr>
            <w:r w:rsidRPr="00126EED">
              <w:rPr>
                <w:rFonts w:ascii="Arial" w:hAnsi="Arial" w:cs="Arial"/>
              </w:rPr>
              <w:t>HK - Agree, very low! I am not sure this should be used as an independent parameter. If there is Polypharmacy, they are likely to already fulfil other criteria and if not, they probably don’t need continuity?</w:t>
            </w:r>
          </w:p>
          <w:p w:rsidR="00126EED" w:rsidRPr="00126EED" w:rsidRDefault="00126EED" w:rsidP="00126EED">
            <w:pPr>
              <w:spacing w:after="0" w:line="240" w:lineRule="auto"/>
              <w:rPr>
                <w:rFonts w:ascii="Arial" w:hAnsi="Arial" w:cs="Arial"/>
              </w:rPr>
            </w:pPr>
            <w:r w:rsidRPr="00126EED">
              <w:rPr>
                <w:rFonts w:ascii="Arial" w:hAnsi="Arial" w:cs="Arial"/>
              </w:rPr>
              <w:t>RB - I would start with 10 as every diabetic will have 5 or more items</w:t>
            </w:r>
          </w:p>
          <w:p w:rsidR="00126EED" w:rsidRPr="00126EED" w:rsidRDefault="00126EED" w:rsidP="00126EED">
            <w:pPr>
              <w:spacing w:after="0" w:line="240" w:lineRule="auto"/>
              <w:rPr>
                <w:rFonts w:ascii="Arial" w:hAnsi="Arial" w:cs="Arial"/>
              </w:rPr>
            </w:pPr>
            <w:r w:rsidRPr="00126EED">
              <w:rPr>
                <w:rFonts w:ascii="Arial" w:hAnsi="Arial" w:cs="Arial"/>
              </w:rPr>
              <w:t>JL - Agree 5 Is too low – start with 10+ current issued items excluding certain dressings and appliances</w:t>
            </w:r>
          </w:p>
          <w:p w:rsidR="00126EED" w:rsidRPr="00126EED" w:rsidRDefault="00126EED" w:rsidP="00126EED">
            <w:pPr>
              <w:spacing w:after="0" w:line="240" w:lineRule="auto"/>
              <w:rPr>
                <w:rFonts w:ascii="Arial" w:hAnsi="Arial" w:cs="Arial"/>
              </w:rPr>
            </w:pPr>
            <w:r w:rsidRPr="00126EED">
              <w:rPr>
                <w:rFonts w:ascii="Arial" w:hAnsi="Arial" w:cs="Arial"/>
              </w:rPr>
              <w:t>NM - I would go for &gt; 8 or even 10</w:t>
            </w:r>
          </w:p>
          <w:p w:rsidR="00126EED" w:rsidRPr="00126EED" w:rsidRDefault="00126EED" w:rsidP="00126EED">
            <w:pPr>
              <w:spacing w:after="0" w:line="240" w:lineRule="auto"/>
              <w:rPr>
                <w:rFonts w:ascii="Arial" w:hAnsi="Arial" w:cs="Arial"/>
              </w:rPr>
            </w:pPr>
            <w:r w:rsidRPr="00126EED">
              <w:rPr>
                <w:rFonts w:ascii="Arial" w:hAnsi="Arial" w:cs="Arial"/>
              </w:rPr>
              <w:t xml:space="preserve">DR - A pragmatic approach to identifying higher-risk polypharmacy in practice is to focus on patients at particularly high risk: for example, those receiving 10 or more regular medicines, or those receiving 4 to 9 regular medicines together with other unfavourable factors (examples include: a contraindicated drug; where there is potential for drug–drug interaction; or where medicine taking has proved a problem in the past). </w:t>
            </w:r>
          </w:p>
          <w:p w:rsidR="00126EED" w:rsidRPr="00126EED" w:rsidRDefault="00126EED" w:rsidP="00126EED">
            <w:pPr>
              <w:spacing w:after="0" w:line="240" w:lineRule="auto"/>
              <w:rPr>
                <w:rFonts w:ascii="Arial" w:hAnsi="Arial" w:cs="Arial"/>
              </w:rPr>
            </w:pPr>
            <w:hyperlink r:id="rId4" w:history="1">
              <w:r w:rsidRPr="00126EED">
                <w:rPr>
                  <w:rFonts w:ascii="Arial" w:hAnsi="Arial" w:cs="Arial"/>
                  <w:u w:val="single"/>
                </w:rPr>
                <w:t>https://www.kingsfund.org.uk/sites/default/files/field/field_publication_file/polypharmacy-and-medicines-optimisation-kingsfund-nov13.pdf</w:t>
              </w:r>
            </w:hyperlink>
          </w:p>
        </w:tc>
      </w:tr>
      <w:tr w:rsidR="00126EED" w:rsidRPr="00126EED" w:rsidTr="00126EED">
        <w:tc>
          <w:tcPr>
            <w:tcW w:w="142" w:type="dxa"/>
            <w:tcBorders>
              <w:top w:val="nil"/>
              <w:left w:val="single" w:sz="8" w:space="0" w:color="auto"/>
              <w:bottom w:val="single" w:sz="8" w:space="0" w:color="auto"/>
              <w:right w:val="single" w:sz="8" w:space="0" w:color="auto"/>
            </w:tcBorders>
            <w:shd w:val="clear" w:color="auto" w:fill="9CC2E5" w:themeFill="accent1" w:themeFillTint="99"/>
          </w:tcPr>
          <w:p w:rsidR="00126EED" w:rsidRPr="00126EED" w:rsidRDefault="00126EED" w:rsidP="00126EED">
            <w:pPr>
              <w:spacing w:after="0" w:line="240" w:lineRule="auto"/>
              <w:rPr>
                <w:rFonts w:ascii="Arial" w:hAnsi="Arial" w:cs="Arial"/>
              </w:rPr>
            </w:pPr>
          </w:p>
        </w:tc>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6EED" w:rsidRPr="00126EED" w:rsidRDefault="00126EED" w:rsidP="00126EED">
            <w:pPr>
              <w:spacing w:after="0" w:line="240" w:lineRule="auto"/>
              <w:rPr>
                <w:rFonts w:ascii="Arial" w:hAnsi="Arial" w:cs="Arial"/>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126EED" w:rsidRPr="00126EED" w:rsidRDefault="00126EED" w:rsidP="00126EED">
            <w:pPr>
              <w:spacing w:after="0" w:line="240" w:lineRule="auto"/>
              <w:rPr>
                <w:rFonts w:ascii="Arial" w:hAnsi="Arial" w:cs="Arial"/>
              </w:rPr>
            </w:pPr>
          </w:p>
        </w:tc>
        <w:tc>
          <w:tcPr>
            <w:tcW w:w="6095"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rsidR="00126EED" w:rsidRPr="00126EED" w:rsidRDefault="00126EED" w:rsidP="00126EED">
            <w:pPr>
              <w:spacing w:after="0" w:line="240" w:lineRule="auto"/>
              <w:rPr>
                <w:rFonts w:ascii="Arial" w:hAnsi="Arial" w:cs="Arial"/>
              </w:rPr>
            </w:pPr>
            <w:r w:rsidRPr="00126EED">
              <w:rPr>
                <w:rFonts w:ascii="Arial" w:hAnsi="Arial" w:cs="Arial"/>
              </w:rPr>
              <w:t>Summary:</w:t>
            </w:r>
          </w:p>
          <w:p w:rsidR="00126EED" w:rsidRPr="00126EED" w:rsidRDefault="00126EED" w:rsidP="00126EED">
            <w:pPr>
              <w:spacing w:after="0" w:line="240" w:lineRule="auto"/>
              <w:rPr>
                <w:rFonts w:ascii="Arial" w:hAnsi="Arial" w:cs="Arial"/>
              </w:rPr>
            </w:pPr>
            <w:r w:rsidRPr="00126EED">
              <w:rPr>
                <w:rFonts w:ascii="Arial" w:hAnsi="Arial" w:cs="Arial"/>
              </w:rPr>
              <w:t>Over 10 items</w:t>
            </w:r>
          </w:p>
        </w:tc>
      </w:tr>
      <w:tr w:rsidR="00126EED" w:rsidRPr="00126EED" w:rsidTr="00126EED">
        <w:tc>
          <w:tcPr>
            <w:tcW w:w="142" w:type="dxa"/>
            <w:tcBorders>
              <w:top w:val="nil"/>
              <w:left w:val="single" w:sz="8" w:space="0" w:color="auto"/>
              <w:bottom w:val="nil"/>
              <w:right w:val="single" w:sz="8" w:space="0" w:color="auto"/>
            </w:tcBorders>
            <w:shd w:val="clear" w:color="auto" w:fill="9CC2E5" w:themeFill="accent1" w:themeFillTint="99"/>
          </w:tcPr>
          <w:p w:rsidR="00126EED" w:rsidRPr="00126EED" w:rsidRDefault="00126EED" w:rsidP="00126EED">
            <w:pPr>
              <w:spacing w:after="0" w:line="240" w:lineRule="auto"/>
              <w:rPr>
                <w:rFonts w:ascii="Arial" w:hAnsi="Arial" w:cs="Arial"/>
              </w:rPr>
            </w:pPr>
          </w:p>
        </w:tc>
        <w:tc>
          <w:tcPr>
            <w:tcW w:w="1985" w:type="dxa"/>
            <w:tcBorders>
              <w:top w:val="nil"/>
              <w:left w:val="single" w:sz="8" w:space="0" w:color="auto"/>
              <w:bottom w:val="nil"/>
              <w:right w:val="single" w:sz="8" w:space="0" w:color="auto"/>
            </w:tcBorders>
            <w:tcMar>
              <w:top w:w="0" w:type="dxa"/>
              <w:left w:w="108" w:type="dxa"/>
              <w:bottom w:w="0" w:type="dxa"/>
              <w:right w:w="108" w:type="dxa"/>
            </w:tcMar>
          </w:tcPr>
          <w:p w:rsidR="00126EED" w:rsidRPr="00126EED" w:rsidRDefault="00126EED" w:rsidP="00126EED">
            <w:pPr>
              <w:spacing w:after="0" w:line="240" w:lineRule="auto"/>
              <w:rPr>
                <w:rFonts w:ascii="Arial" w:hAnsi="Arial" w:cs="Arial"/>
              </w:rPr>
            </w:pPr>
            <w:r w:rsidRPr="00126EED">
              <w:rPr>
                <w:rFonts w:ascii="Arial" w:hAnsi="Arial" w:cs="Arial"/>
              </w:rPr>
              <w:t>Oldest 10% of practice population</w:t>
            </w:r>
          </w:p>
        </w:tc>
        <w:tc>
          <w:tcPr>
            <w:tcW w:w="1701" w:type="dxa"/>
            <w:tcBorders>
              <w:top w:val="nil"/>
              <w:left w:val="nil"/>
              <w:bottom w:val="nil"/>
              <w:right w:val="single" w:sz="8" w:space="0" w:color="auto"/>
            </w:tcBorders>
            <w:tcMar>
              <w:top w:w="0" w:type="dxa"/>
              <w:left w:w="108" w:type="dxa"/>
              <w:bottom w:w="0" w:type="dxa"/>
              <w:right w:w="108" w:type="dxa"/>
            </w:tcMar>
            <w:hideMark/>
          </w:tcPr>
          <w:p w:rsidR="00126EED" w:rsidRPr="00126EED" w:rsidRDefault="00126EED" w:rsidP="00126EED">
            <w:pPr>
              <w:spacing w:after="0" w:line="240" w:lineRule="auto"/>
              <w:rPr>
                <w:rFonts w:ascii="Arial" w:hAnsi="Arial" w:cs="Arial"/>
              </w:rPr>
            </w:pPr>
            <w:r w:rsidRPr="00126EED">
              <w:rPr>
                <w:rFonts w:ascii="Arial" w:hAnsi="Arial" w:cs="Arial"/>
              </w:rPr>
              <w:t>Straight-forward</w:t>
            </w:r>
          </w:p>
        </w:tc>
        <w:tc>
          <w:tcPr>
            <w:tcW w:w="6095" w:type="dxa"/>
            <w:tcBorders>
              <w:top w:val="nil"/>
              <w:left w:val="nil"/>
              <w:bottom w:val="nil"/>
              <w:right w:val="single" w:sz="8" w:space="0" w:color="auto"/>
            </w:tcBorders>
            <w:tcMar>
              <w:top w:w="0" w:type="dxa"/>
              <w:left w:w="108" w:type="dxa"/>
              <w:bottom w:w="0" w:type="dxa"/>
              <w:right w:w="108" w:type="dxa"/>
            </w:tcMar>
          </w:tcPr>
          <w:p w:rsidR="00126EED" w:rsidRPr="00126EED" w:rsidRDefault="00126EED" w:rsidP="00126EED">
            <w:pPr>
              <w:spacing w:after="0" w:line="240" w:lineRule="auto"/>
              <w:rPr>
                <w:rFonts w:ascii="Arial" w:hAnsi="Arial" w:cs="Arial"/>
              </w:rPr>
            </w:pPr>
            <w:r w:rsidRPr="00126EED">
              <w:rPr>
                <w:rFonts w:ascii="Arial" w:hAnsi="Arial" w:cs="Arial"/>
              </w:rPr>
              <w:t>RB - Not sure what this would achieve as some elderly very fit and resilient. I’m not sure this is a good rationale for prioritising or focusing care</w:t>
            </w:r>
          </w:p>
          <w:p w:rsidR="00126EED" w:rsidRPr="00126EED" w:rsidRDefault="00126EED" w:rsidP="00126EED">
            <w:pPr>
              <w:spacing w:after="0" w:line="240" w:lineRule="auto"/>
              <w:rPr>
                <w:rFonts w:ascii="Arial" w:hAnsi="Arial" w:cs="Arial"/>
              </w:rPr>
            </w:pPr>
            <w:r w:rsidRPr="00126EED">
              <w:rPr>
                <w:rFonts w:ascii="Arial" w:hAnsi="Arial" w:cs="Arial"/>
              </w:rPr>
              <w:t xml:space="preserve">JL - Age in itself isn’t probably the right discriminator – frailty does this </w:t>
            </w:r>
            <w:proofErr w:type="gramStart"/>
            <w:r w:rsidRPr="00126EED">
              <w:rPr>
                <w:rFonts w:ascii="Arial" w:hAnsi="Arial" w:cs="Arial"/>
              </w:rPr>
              <w:t>better</w:t>
            </w:r>
            <w:proofErr w:type="gramEnd"/>
            <w:r w:rsidRPr="00126EED">
              <w:rPr>
                <w:rFonts w:ascii="Arial" w:hAnsi="Arial" w:cs="Arial"/>
              </w:rPr>
              <w:t>.</w:t>
            </w:r>
          </w:p>
          <w:p w:rsidR="00126EED" w:rsidRPr="00126EED" w:rsidRDefault="00126EED" w:rsidP="00126EED">
            <w:pPr>
              <w:spacing w:after="0" w:line="240" w:lineRule="auto"/>
              <w:rPr>
                <w:rFonts w:ascii="Arial" w:hAnsi="Arial" w:cs="Arial"/>
              </w:rPr>
            </w:pPr>
            <w:r w:rsidRPr="00126EED">
              <w:rPr>
                <w:rFonts w:ascii="Arial" w:hAnsi="Arial" w:cs="Arial"/>
              </w:rPr>
              <w:t>NM - good marker (not in a care home?)</w:t>
            </w:r>
          </w:p>
        </w:tc>
      </w:tr>
      <w:tr w:rsidR="00126EED" w:rsidRPr="00126EED" w:rsidTr="00126EED">
        <w:trPr>
          <w:trHeight w:val="80"/>
        </w:trPr>
        <w:tc>
          <w:tcPr>
            <w:tcW w:w="142" w:type="dxa"/>
            <w:tcBorders>
              <w:top w:val="nil"/>
              <w:left w:val="single" w:sz="8" w:space="0" w:color="auto"/>
              <w:bottom w:val="single" w:sz="8" w:space="0" w:color="auto"/>
              <w:right w:val="single" w:sz="8" w:space="0" w:color="auto"/>
            </w:tcBorders>
            <w:shd w:val="clear" w:color="auto" w:fill="9CC2E5" w:themeFill="accent1" w:themeFillTint="99"/>
          </w:tcPr>
          <w:p w:rsidR="00126EED" w:rsidRPr="00126EED" w:rsidRDefault="00126EED" w:rsidP="00126EED">
            <w:pPr>
              <w:spacing w:after="0" w:line="240" w:lineRule="auto"/>
              <w:rPr>
                <w:rFonts w:ascii="Arial" w:hAnsi="Arial" w:cs="Arial"/>
              </w:rPr>
            </w:pPr>
          </w:p>
        </w:tc>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6EED" w:rsidRPr="00126EED" w:rsidRDefault="00126EED" w:rsidP="00126EED">
            <w:pPr>
              <w:spacing w:after="0" w:line="240" w:lineRule="auto"/>
              <w:rPr>
                <w:rFonts w:ascii="Arial" w:hAnsi="Arial" w:cs="Arial"/>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126EED" w:rsidRPr="00126EED" w:rsidRDefault="00126EED" w:rsidP="00126EED">
            <w:pPr>
              <w:spacing w:after="0" w:line="240" w:lineRule="auto"/>
              <w:rPr>
                <w:rFonts w:ascii="Arial" w:hAnsi="Arial" w:cs="Arial"/>
              </w:rPr>
            </w:pP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rsidR="00126EED" w:rsidRPr="00126EED" w:rsidRDefault="00126EED" w:rsidP="00126EED">
            <w:pPr>
              <w:spacing w:after="0" w:line="240" w:lineRule="auto"/>
              <w:rPr>
                <w:rFonts w:ascii="Arial" w:hAnsi="Arial" w:cs="Arial"/>
              </w:rPr>
            </w:pPr>
          </w:p>
        </w:tc>
      </w:tr>
      <w:tr w:rsidR="00126EED" w:rsidRPr="00126EED" w:rsidTr="00126EED">
        <w:tc>
          <w:tcPr>
            <w:tcW w:w="142" w:type="dxa"/>
            <w:tcBorders>
              <w:top w:val="nil"/>
              <w:left w:val="single" w:sz="8" w:space="0" w:color="auto"/>
              <w:bottom w:val="single" w:sz="8" w:space="0" w:color="auto"/>
              <w:right w:val="single" w:sz="8" w:space="0" w:color="auto"/>
            </w:tcBorders>
            <w:shd w:val="clear" w:color="auto" w:fill="9CC2E5" w:themeFill="accent1" w:themeFillTint="99"/>
          </w:tcPr>
          <w:p w:rsidR="00126EED" w:rsidRPr="00126EED" w:rsidRDefault="00126EED" w:rsidP="00126EED">
            <w:pPr>
              <w:spacing w:after="0" w:line="240" w:lineRule="auto"/>
              <w:rPr>
                <w:rFonts w:ascii="Arial" w:hAnsi="Arial" w:cs="Arial"/>
              </w:rPr>
            </w:pPr>
          </w:p>
        </w:tc>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6EED" w:rsidRPr="00126EED" w:rsidRDefault="00126EED" w:rsidP="00126EED">
            <w:pPr>
              <w:spacing w:after="0" w:line="240" w:lineRule="auto"/>
              <w:rPr>
                <w:rFonts w:ascii="Arial" w:hAnsi="Arial" w:cs="Arial"/>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126EED" w:rsidRPr="00126EED" w:rsidRDefault="00126EED" w:rsidP="00126EED">
            <w:pPr>
              <w:spacing w:after="0" w:line="240" w:lineRule="auto"/>
              <w:rPr>
                <w:rFonts w:ascii="Arial" w:hAnsi="Arial" w:cs="Arial"/>
              </w:rPr>
            </w:pPr>
          </w:p>
        </w:tc>
        <w:tc>
          <w:tcPr>
            <w:tcW w:w="6095"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rsidR="00126EED" w:rsidRPr="00126EED" w:rsidRDefault="00126EED" w:rsidP="00126EED">
            <w:pPr>
              <w:spacing w:after="0" w:line="240" w:lineRule="auto"/>
              <w:rPr>
                <w:rFonts w:ascii="Arial" w:hAnsi="Arial" w:cs="Arial"/>
              </w:rPr>
            </w:pPr>
            <w:r w:rsidRPr="00126EED">
              <w:rPr>
                <w:rFonts w:ascii="Arial" w:hAnsi="Arial" w:cs="Arial"/>
              </w:rPr>
              <w:t>Summary:</w:t>
            </w:r>
          </w:p>
          <w:p w:rsidR="00126EED" w:rsidRPr="00126EED" w:rsidRDefault="00126EED" w:rsidP="00126EED">
            <w:pPr>
              <w:spacing w:after="0" w:line="240" w:lineRule="auto"/>
              <w:rPr>
                <w:rFonts w:ascii="Arial" w:hAnsi="Arial" w:cs="Arial"/>
              </w:rPr>
            </w:pPr>
            <w:r w:rsidRPr="00126EED">
              <w:rPr>
                <w:rFonts w:ascii="Arial" w:hAnsi="Arial" w:cs="Arial"/>
              </w:rPr>
              <w:t>Easy to calculate – practice choice whether to use</w:t>
            </w:r>
          </w:p>
        </w:tc>
      </w:tr>
    </w:tbl>
    <w:p w:rsidR="00066644" w:rsidRDefault="00F11057"/>
    <w:sectPr w:rsidR="000666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EED"/>
    <w:rsid w:val="00126EED"/>
    <w:rsid w:val="001B27E1"/>
    <w:rsid w:val="007318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D703B4-D7B7-4638-BE89-2018442CA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ingsfund.org.uk/sites/default/files/field/field_publication_file/polypharmacy-and-medicines-optimisation-kingsfund-nov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Martineau</dc:creator>
  <cp:keywords/>
  <dc:description/>
  <cp:lastModifiedBy>Julia Martineau</cp:lastModifiedBy>
  <cp:revision>2</cp:revision>
  <dcterms:created xsi:type="dcterms:W3CDTF">2019-08-20T10:01:00Z</dcterms:created>
  <dcterms:modified xsi:type="dcterms:W3CDTF">2019-08-20T10:01:00Z</dcterms:modified>
</cp:coreProperties>
</file>